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2AF15" w14:textId="3B958CBC" w:rsidR="00DD7E2F" w:rsidRDefault="00C51EBF">
      <w:pPr>
        <w:rPr>
          <w:rFonts w:ascii="Times New Roman Regular" w:eastAsia="宋体" w:hAnsi="Times New Roman Regular" w:cs="Times New Roman Regular"/>
          <w:color w:val="000000" w:themeColor="text1"/>
          <w:sz w:val="24"/>
        </w:rPr>
      </w:pPr>
      <w:r>
        <w:rPr>
          <w:rFonts w:ascii="Times New Roman Regular" w:eastAsia="宋体" w:hAnsi="Times New Roman Regular" w:cs="Times New Roman Regular"/>
          <w:color w:val="000000" w:themeColor="text1"/>
          <w:sz w:val="24"/>
        </w:rPr>
        <w:t xml:space="preserve">Supplementary Fig. </w:t>
      </w:r>
      <w:r w:rsidR="00000000">
        <w:rPr>
          <w:rFonts w:ascii="Times New Roman Regular" w:eastAsia="宋体" w:hAnsi="Times New Roman Regular" w:cs="Times New Roman Regular"/>
          <w:color w:val="000000" w:themeColor="text1"/>
          <w:sz w:val="24"/>
        </w:rPr>
        <w:t>1</w:t>
      </w:r>
    </w:p>
    <w:p w14:paraId="40E37B2A" w14:textId="77777777" w:rsidR="00DD7E2F" w:rsidRDefault="00000000">
      <w:pPr>
        <w:rPr>
          <w:rFonts w:ascii="Times New Roman Regular" w:eastAsia="宋体" w:hAnsi="Times New Roman Regular" w:cs="Times New Roman Regular"/>
          <w:color w:val="000000" w:themeColor="text1"/>
          <w:sz w:val="24"/>
        </w:rPr>
      </w:pPr>
      <w:r>
        <w:rPr>
          <w:rFonts w:ascii="Times New Roman Regular" w:eastAsia="宋体" w:hAnsi="Times New Roman Regular" w:cs="Times New Roman Regular"/>
          <w:noProof/>
          <w:color w:val="000000" w:themeColor="text1"/>
          <w:sz w:val="24"/>
        </w:rPr>
        <w:drawing>
          <wp:inline distT="0" distB="0" distL="114300" distR="114300" wp14:anchorId="32618F5A" wp14:editId="63C52D0F">
            <wp:extent cx="5273675" cy="3750310"/>
            <wp:effectExtent l="0" t="0" r="9525" b="8890"/>
            <wp:docPr id="1" name="图片 1" descr="Sfig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Sfigure 1"/>
                    <pic:cNvPicPr>
                      <a:picLocks noChangeAspect="1"/>
                    </pic:cNvPicPr>
                  </pic:nvPicPr>
                  <pic:blipFill>
                    <a:blip r:embed="rId4"/>
                    <a:stretch>
                      <a:fillRect/>
                    </a:stretch>
                  </pic:blipFill>
                  <pic:spPr>
                    <a:xfrm>
                      <a:off x="0" y="0"/>
                      <a:ext cx="5273675" cy="3750310"/>
                    </a:xfrm>
                    <a:prstGeom prst="rect">
                      <a:avLst/>
                    </a:prstGeom>
                  </pic:spPr>
                </pic:pic>
              </a:graphicData>
            </a:graphic>
          </wp:inline>
        </w:drawing>
      </w:r>
    </w:p>
    <w:p w14:paraId="71F8DF7C" w14:textId="5C7A77C5" w:rsidR="00DD7E2F" w:rsidRDefault="00C51EBF">
      <w:pPr>
        <w:spacing w:line="360" w:lineRule="auto"/>
        <w:rPr>
          <w:rFonts w:ascii="Times New Roman Regular" w:eastAsia="宋体" w:hAnsi="Times New Roman Regular" w:cs="Times New Roman Regular"/>
          <w:color w:val="000000" w:themeColor="text1"/>
          <w:sz w:val="24"/>
        </w:rPr>
      </w:pPr>
      <w:r>
        <w:rPr>
          <w:rFonts w:ascii="Times New Roman Regular" w:eastAsia="宋体" w:hAnsi="Times New Roman Regular" w:cs="Times New Roman Regular"/>
          <w:color w:val="000000" w:themeColor="text1"/>
          <w:sz w:val="24"/>
        </w:rPr>
        <w:t xml:space="preserve">Supplementary Fig. </w:t>
      </w:r>
      <w:r w:rsidR="00000000">
        <w:rPr>
          <w:rFonts w:ascii="Times New Roman Regular" w:eastAsia="宋体" w:hAnsi="Times New Roman Regular" w:cs="Times New Roman Regular"/>
          <w:color w:val="000000" w:themeColor="text1"/>
          <w:sz w:val="24"/>
        </w:rPr>
        <w:t>1 Violin plots displaying the differential expression of 12 key target genes (CYP3A4, AR, ESR1, CYP1A1, PTGS2, IGFBP3, CYP1A2, EGFR, ABCB1, MMP2, IGF1R, KIT) between normal liver tissues and HCC tumor tissues (***</w:t>
      </w:r>
      <w:r w:rsidR="00000000">
        <w:rPr>
          <w:rFonts w:ascii="Times New Roman Italic" w:eastAsia="宋体" w:hAnsi="Times New Roman Italic" w:cs="Times New Roman Italic" w:hint="eastAsia"/>
          <w:i/>
          <w:iCs/>
          <w:color w:val="000000" w:themeColor="text1"/>
          <w:sz w:val="24"/>
        </w:rPr>
        <w:t>p</w:t>
      </w:r>
      <w:r w:rsidR="00000000">
        <w:rPr>
          <w:rFonts w:ascii="Times New Roman Regular" w:eastAsia="宋体" w:hAnsi="Times New Roman Regular" w:cs="Times New Roman Regular"/>
          <w:color w:val="000000" w:themeColor="text1"/>
          <w:sz w:val="24"/>
        </w:rPr>
        <w:t xml:space="preserve"> &lt; 0.001, ns </w:t>
      </w:r>
      <w:r w:rsidR="00000000">
        <w:rPr>
          <w:rFonts w:ascii="Times New Roman Italic" w:eastAsia="宋体" w:hAnsi="Times New Roman Italic" w:cs="Times New Roman Italic" w:hint="eastAsia"/>
          <w:i/>
          <w:iCs/>
          <w:color w:val="000000" w:themeColor="text1"/>
          <w:sz w:val="24"/>
        </w:rPr>
        <w:t>p</w:t>
      </w:r>
      <w:r w:rsidR="00000000">
        <w:rPr>
          <w:rFonts w:ascii="Times New Roman Regular" w:eastAsia="宋体" w:hAnsi="Times New Roman Regular" w:cs="Times New Roman Regular"/>
          <w:color w:val="000000" w:themeColor="text1"/>
          <w:sz w:val="24"/>
        </w:rPr>
        <w:t xml:space="preserve"> </w:t>
      </w:r>
      <w:r w:rsidR="00000000">
        <w:rPr>
          <w:rFonts w:ascii="Times New Roman" w:eastAsia="宋体" w:hAnsi="Times New Roman" w:cs="Times New Roman"/>
          <w:color w:val="000000" w:themeColor="text1"/>
          <w:sz w:val="24"/>
        </w:rPr>
        <w:t>&gt;</w:t>
      </w:r>
      <w:r w:rsidR="00000000">
        <w:rPr>
          <w:rFonts w:ascii="Times New Roman Regular" w:eastAsia="宋体" w:hAnsi="Times New Roman Regular" w:cs="Times New Roman Regular"/>
          <w:color w:val="000000" w:themeColor="text1"/>
          <w:sz w:val="24"/>
        </w:rPr>
        <w:t xml:space="preserve"> 0.05).</w:t>
      </w:r>
    </w:p>
    <w:p w14:paraId="73A28118" w14:textId="77777777" w:rsidR="00DD7E2F" w:rsidRDefault="00000000">
      <w:pPr>
        <w:rPr>
          <w:rFonts w:ascii="Times New Roman Regular" w:eastAsia="宋体" w:hAnsi="Times New Roman Regular" w:cs="Times New Roman Regular"/>
          <w:color w:val="000000" w:themeColor="text1"/>
          <w:sz w:val="24"/>
        </w:rPr>
      </w:pPr>
      <w:r>
        <w:rPr>
          <w:rFonts w:ascii="Times New Roman Regular" w:eastAsia="宋体" w:hAnsi="Times New Roman Regular" w:cs="Times New Roman Regular"/>
          <w:color w:val="000000" w:themeColor="text1"/>
          <w:sz w:val="24"/>
        </w:rPr>
        <w:br w:type="page"/>
      </w:r>
    </w:p>
    <w:p w14:paraId="3C3F6909" w14:textId="16DBE892" w:rsidR="00DD7E2F" w:rsidRDefault="00C51EBF">
      <w:pPr>
        <w:rPr>
          <w:rFonts w:ascii="Times New Roman Regular" w:eastAsia="宋体" w:hAnsi="Times New Roman Regular" w:cs="Times New Roman Regular"/>
          <w:color w:val="000000" w:themeColor="text1"/>
          <w:sz w:val="24"/>
        </w:rPr>
      </w:pPr>
      <w:r>
        <w:rPr>
          <w:rFonts w:ascii="Times New Roman Regular" w:eastAsia="宋体" w:hAnsi="Times New Roman Regular" w:cs="Times New Roman Regular"/>
          <w:color w:val="000000" w:themeColor="text1"/>
          <w:sz w:val="24"/>
        </w:rPr>
        <w:lastRenderedPageBreak/>
        <w:t xml:space="preserve">Supplementary Fig. </w:t>
      </w:r>
      <w:r w:rsidR="00000000">
        <w:rPr>
          <w:rFonts w:ascii="Times New Roman Regular" w:eastAsia="宋体" w:hAnsi="Times New Roman Regular" w:cs="Times New Roman Regular"/>
          <w:color w:val="000000" w:themeColor="text1"/>
          <w:sz w:val="24"/>
        </w:rPr>
        <w:t>2</w:t>
      </w:r>
    </w:p>
    <w:p w14:paraId="67AD46B9" w14:textId="77777777" w:rsidR="00DD7E2F" w:rsidRDefault="00000000">
      <w:pPr>
        <w:rPr>
          <w:rFonts w:ascii="Times New Roman Regular" w:eastAsia="宋体" w:hAnsi="Times New Roman Regular" w:cs="Times New Roman Regular"/>
          <w:color w:val="000000" w:themeColor="text1"/>
          <w:sz w:val="24"/>
        </w:rPr>
      </w:pPr>
      <w:r>
        <w:rPr>
          <w:rFonts w:ascii="Times New Roman Regular" w:eastAsia="宋体" w:hAnsi="Times New Roman Regular" w:cs="Times New Roman Regular"/>
          <w:noProof/>
          <w:color w:val="000000" w:themeColor="text1"/>
          <w:sz w:val="24"/>
        </w:rPr>
        <w:drawing>
          <wp:inline distT="0" distB="0" distL="114300" distR="114300" wp14:anchorId="1E5E8F96" wp14:editId="2CB73FFD">
            <wp:extent cx="5273675" cy="4439285"/>
            <wp:effectExtent l="0" t="0" r="9525" b="5715"/>
            <wp:docPr id="9" name="图片 9" descr="Sfig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Sfigure 2"/>
                    <pic:cNvPicPr>
                      <a:picLocks noChangeAspect="1"/>
                    </pic:cNvPicPr>
                  </pic:nvPicPr>
                  <pic:blipFill>
                    <a:blip r:embed="rId5"/>
                    <a:stretch>
                      <a:fillRect/>
                    </a:stretch>
                  </pic:blipFill>
                  <pic:spPr>
                    <a:xfrm>
                      <a:off x="0" y="0"/>
                      <a:ext cx="5273675" cy="4439285"/>
                    </a:xfrm>
                    <a:prstGeom prst="rect">
                      <a:avLst/>
                    </a:prstGeom>
                  </pic:spPr>
                </pic:pic>
              </a:graphicData>
            </a:graphic>
          </wp:inline>
        </w:drawing>
      </w:r>
    </w:p>
    <w:p w14:paraId="7D7F19D8" w14:textId="7FCCEC46" w:rsidR="00DD7E2F" w:rsidRDefault="00C51EBF">
      <w:pPr>
        <w:spacing w:line="360" w:lineRule="auto"/>
        <w:rPr>
          <w:rFonts w:ascii="Times New Roman Regular" w:eastAsia="宋体" w:hAnsi="Times New Roman Regular" w:cs="Times New Roman Regular"/>
          <w:color w:val="000000" w:themeColor="text1"/>
          <w:sz w:val="24"/>
        </w:rPr>
      </w:pPr>
      <w:r>
        <w:rPr>
          <w:rFonts w:ascii="Times New Roman Regular" w:eastAsia="宋体" w:hAnsi="Times New Roman Regular" w:cs="Times New Roman Regular"/>
          <w:color w:val="000000" w:themeColor="text1"/>
          <w:sz w:val="24"/>
        </w:rPr>
        <w:t xml:space="preserve">Supplementary Fig. </w:t>
      </w:r>
      <w:r w:rsidR="00000000">
        <w:rPr>
          <w:rFonts w:ascii="Times New Roman Regular" w:eastAsia="宋体" w:hAnsi="Times New Roman Regular" w:cs="Times New Roman Regular"/>
          <w:color w:val="000000" w:themeColor="text1"/>
          <w:sz w:val="24"/>
        </w:rPr>
        <w:t>2 Kaplan–Meier survival curve</w:t>
      </w:r>
      <w:r w:rsidR="00000000">
        <w:rPr>
          <w:rFonts w:ascii="Times New Roman Regular" w:eastAsia="宋体" w:hAnsi="Times New Roman Regular" w:cs="Times New Roman Regular" w:hint="eastAsia"/>
          <w:color w:val="000000" w:themeColor="text1"/>
          <w:sz w:val="24"/>
        </w:rPr>
        <w:t xml:space="preserve"> of</w:t>
      </w:r>
      <w:r w:rsidR="00000000">
        <w:rPr>
          <w:rFonts w:ascii="Times New Roman Regular" w:eastAsia="宋体" w:hAnsi="Times New Roman Regular" w:cs="Times New Roman Regular"/>
          <w:color w:val="000000" w:themeColor="text1"/>
          <w:sz w:val="24"/>
        </w:rPr>
        <w:t xml:space="preserve"> Overall survival (OS)</w:t>
      </w:r>
      <w:r w:rsidR="00000000">
        <w:rPr>
          <w:rFonts w:ascii="Times New Roman Regular" w:eastAsia="宋体" w:hAnsi="Times New Roman Regular" w:cs="Times New Roman Regular" w:hint="eastAsia"/>
          <w:color w:val="000000" w:themeColor="text1"/>
          <w:sz w:val="24"/>
        </w:rPr>
        <w:t xml:space="preserve"> fo</w:t>
      </w:r>
      <w:r w:rsidR="00000000">
        <w:rPr>
          <w:rFonts w:ascii="Times New Roman Regular" w:eastAsia="宋体" w:hAnsi="Times New Roman Regular" w:cs="Times New Roman Regular"/>
          <w:color w:val="000000" w:themeColor="text1"/>
          <w:sz w:val="24"/>
        </w:rPr>
        <w:t>r MTOR, TRAF1, CYP17A1, INSR, BCL2, BCL2L1, RELA, ABCC1, MMP9. Kaplan–Meier survival curve</w:t>
      </w:r>
      <w:r w:rsidR="00000000">
        <w:rPr>
          <w:rFonts w:ascii="Times New Roman Regular" w:eastAsia="宋体" w:hAnsi="Times New Roman Regular" w:cs="Times New Roman Regular" w:hint="eastAsia"/>
          <w:color w:val="000000" w:themeColor="text1"/>
          <w:sz w:val="24"/>
        </w:rPr>
        <w:t xml:space="preserve"> of</w:t>
      </w:r>
      <w:r w:rsidR="00000000">
        <w:rPr>
          <w:rFonts w:ascii="Times New Roman Regular" w:eastAsia="宋体" w:hAnsi="Times New Roman Regular" w:cs="Times New Roman Regular"/>
          <w:color w:val="000000" w:themeColor="text1"/>
          <w:sz w:val="24"/>
        </w:rPr>
        <w:t xml:space="preserve"> Disease-specific survival (DSS) and Progression-free interval (PFI) for BCL2L1, RELA, ABCC1, MMP9.</w:t>
      </w:r>
    </w:p>
    <w:p w14:paraId="100F703A" w14:textId="77777777" w:rsidR="00DD7E2F" w:rsidRDefault="00000000">
      <w:pPr>
        <w:rPr>
          <w:rFonts w:ascii="Times New Roman Regular" w:eastAsia="宋体" w:hAnsi="Times New Roman Regular" w:cs="Times New Roman Regular"/>
          <w:color w:val="000000" w:themeColor="text1"/>
          <w:sz w:val="24"/>
        </w:rPr>
      </w:pPr>
      <w:r>
        <w:rPr>
          <w:rFonts w:ascii="Times New Roman Regular" w:eastAsia="宋体" w:hAnsi="Times New Roman Regular" w:cs="Times New Roman Regular"/>
          <w:color w:val="000000" w:themeColor="text1"/>
          <w:sz w:val="24"/>
        </w:rPr>
        <w:br w:type="page"/>
      </w:r>
    </w:p>
    <w:p w14:paraId="3B51252E" w14:textId="24FB11FF" w:rsidR="00DD7E2F" w:rsidRDefault="00C51EBF">
      <w:pPr>
        <w:rPr>
          <w:rFonts w:ascii="Times New Roman Regular" w:eastAsia="宋体" w:hAnsi="Times New Roman Regular" w:cs="Times New Roman Regular"/>
          <w:color w:val="000000" w:themeColor="text1"/>
          <w:sz w:val="24"/>
        </w:rPr>
      </w:pPr>
      <w:r>
        <w:rPr>
          <w:rFonts w:ascii="Times New Roman Regular" w:eastAsia="宋体" w:hAnsi="Times New Roman Regular" w:cs="Times New Roman Regular"/>
          <w:color w:val="000000" w:themeColor="text1"/>
          <w:sz w:val="24"/>
        </w:rPr>
        <w:lastRenderedPageBreak/>
        <w:t xml:space="preserve">Supplementary Fig. </w:t>
      </w:r>
      <w:r w:rsidR="00000000">
        <w:rPr>
          <w:rFonts w:ascii="Times New Roman Regular" w:eastAsia="宋体" w:hAnsi="Times New Roman Regular" w:cs="Times New Roman Regular"/>
          <w:color w:val="000000" w:themeColor="text1"/>
          <w:sz w:val="24"/>
        </w:rPr>
        <w:t>3</w:t>
      </w:r>
    </w:p>
    <w:p w14:paraId="330C33D2" w14:textId="77777777" w:rsidR="00DD7E2F" w:rsidRDefault="00000000">
      <w:pPr>
        <w:rPr>
          <w:rFonts w:ascii="Times New Roman Regular" w:eastAsia="宋体" w:hAnsi="Times New Roman Regular" w:cs="Times New Roman Regular"/>
          <w:color w:val="000000" w:themeColor="text1"/>
          <w:sz w:val="24"/>
        </w:rPr>
      </w:pPr>
      <w:r>
        <w:rPr>
          <w:rFonts w:ascii="Times New Roman Regular" w:eastAsia="宋体" w:hAnsi="Times New Roman Regular" w:cs="Times New Roman Regular" w:hint="eastAsia"/>
          <w:noProof/>
          <w:color w:val="000000" w:themeColor="text1"/>
          <w:sz w:val="24"/>
        </w:rPr>
        <w:drawing>
          <wp:inline distT="0" distB="0" distL="114300" distR="114300" wp14:anchorId="0D1EA63A" wp14:editId="6BDBC653">
            <wp:extent cx="5273675" cy="1617345"/>
            <wp:effectExtent l="0" t="0" r="9525" b="8255"/>
            <wp:docPr id="2" name="图片 2" descr="补充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补充图"/>
                    <pic:cNvPicPr>
                      <a:picLocks noChangeAspect="1"/>
                    </pic:cNvPicPr>
                  </pic:nvPicPr>
                  <pic:blipFill>
                    <a:blip r:embed="rId6"/>
                    <a:stretch>
                      <a:fillRect/>
                    </a:stretch>
                  </pic:blipFill>
                  <pic:spPr>
                    <a:xfrm>
                      <a:off x="0" y="0"/>
                      <a:ext cx="5273675" cy="1617345"/>
                    </a:xfrm>
                    <a:prstGeom prst="rect">
                      <a:avLst/>
                    </a:prstGeom>
                  </pic:spPr>
                </pic:pic>
              </a:graphicData>
            </a:graphic>
          </wp:inline>
        </w:drawing>
      </w:r>
    </w:p>
    <w:p w14:paraId="762CDE85" w14:textId="23B68EA2" w:rsidR="00DD7E2F" w:rsidRDefault="00C51EBF">
      <w:pPr>
        <w:spacing w:line="360" w:lineRule="auto"/>
        <w:rPr>
          <w:rFonts w:ascii="Times New Roman Regular" w:eastAsia="宋体" w:hAnsi="Times New Roman Regular" w:cs="Times New Roman Regular"/>
          <w:color w:val="000000" w:themeColor="text1"/>
          <w:sz w:val="24"/>
        </w:rPr>
      </w:pPr>
      <w:r>
        <w:rPr>
          <w:rFonts w:ascii="Times New Roman Regular" w:eastAsia="宋体" w:hAnsi="Times New Roman Regular" w:cs="Times New Roman Regular"/>
          <w:color w:val="000000" w:themeColor="text1"/>
          <w:sz w:val="24"/>
        </w:rPr>
        <w:t xml:space="preserve">Supplementary Fig. </w:t>
      </w:r>
      <w:r w:rsidR="00000000">
        <w:rPr>
          <w:rFonts w:ascii="Times New Roman Regular" w:eastAsia="宋体" w:hAnsi="Times New Roman Regular" w:cs="Times New Roman Regular" w:hint="eastAsia"/>
          <w:color w:val="000000" w:themeColor="text1"/>
          <w:sz w:val="24"/>
        </w:rPr>
        <w:t>3. TYMS knockdown enhances chemosensitivity of HuH-7/GR cells to gemcitabine.</w:t>
      </w:r>
      <w:r w:rsidR="00000000">
        <w:rPr>
          <w:rFonts w:ascii="Times New Roman Regular" w:eastAsia="宋体" w:hAnsi="Times New Roman Regular" w:cs="Times New Roman Regular"/>
          <w:color w:val="000000" w:themeColor="text1"/>
          <w:sz w:val="24"/>
        </w:rPr>
        <w:t xml:space="preserve"> </w:t>
      </w:r>
      <w:r w:rsidR="00000000">
        <w:rPr>
          <w:rFonts w:ascii="Times New Roman Regular" w:eastAsia="宋体" w:hAnsi="Times New Roman Regular" w:cs="Times New Roman Regular" w:hint="eastAsia"/>
          <w:color w:val="000000" w:themeColor="text1"/>
          <w:sz w:val="24"/>
        </w:rPr>
        <w:t>HuH-7/GR cells were transfected with control siRNA</w:t>
      </w:r>
      <w:r w:rsidR="00000000">
        <w:rPr>
          <w:rFonts w:ascii="Times New Roman Regular" w:eastAsia="宋体" w:hAnsi="Times New Roman Regular" w:cs="Times New Roman Regular"/>
          <w:color w:val="000000" w:themeColor="text1"/>
          <w:sz w:val="24"/>
        </w:rPr>
        <w:t xml:space="preserve"> (Si-NC)</w:t>
      </w:r>
      <w:r w:rsidR="00000000">
        <w:rPr>
          <w:rFonts w:ascii="Times New Roman Regular" w:eastAsia="宋体" w:hAnsi="Times New Roman Regular" w:cs="Times New Roman Regular" w:hint="eastAsia"/>
          <w:color w:val="000000" w:themeColor="text1"/>
          <w:sz w:val="24"/>
        </w:rPr>
        <w:t xml:space="preserve"> or TYMS-specific siRNA (Si-TYMS). (A) </w:t>
      </w:r>
      <w:proofErr w:type="spellStart"/>
      <w:r w:rsidR="00000000">
        <w:rPr>
          <w:rFonts w:ascii="Times New Roman Regular" w:eastAsia="宋体" w:hAnsi="Times New Roman Regular" w:cs="Times New Roman Regular" w:hint="eastAsia"/>
          <w:color w:val="000000" w:themeColor="text1"/>
          <w:sz w:val="24"/>
        </w:rPr>
        <w:t>qRT</w:t>
      </w:r>
      <w:proofErr w:type="spellEnd"/>
      <w:r w:rsidR="00000000">
        <w:rPr>
          <w:rFonts w:ascii="Times New Roman Regular" w:eastAsia="宋体" w:hAnsi="Times New Roman Regular" w:cs="Times New Roman Regular" w:hint="eastAsia"/>
          <w:color w:val="000000" w:themeColor="text1"/>
          <w:sz w:val="24"/>
        </w:rPr>
        <w:t xml:space="preserve">-PCR and Western blot analyses confirmed efficient TYMS knockdown at both mRNA and protein levels. (B) CCK-8 assay showing cell viability under treatment with gemcitabine (GEM, 0 or 100 </w:t>
      </w:r>
      <w:proofErr w:type="spellStart"/>
      <w:r w:rsidR="00000000">
        <w:rPr>
          <w:rFonts w:ascii="Times New Roman Regular" w:eastAsia="宋体" w:hAnsi="Times New Roman Regular" w:cs="Times New Roman Regular" w:hint="eastAsia"/>
          <w:color w:val="000000" w:themeColor="text1"/>
          <w:sz w:val="24"/>
        </w:rPr>
        <w:t>nM</w:t>
      </w:r>
      <w:proofErr w:type="spellEnd"/>
      <w:r w:rsidR="00000000">
        <w:rPr>
          <w:rFonts w:ascii="Times New Roman Regular" w:eastAsia="宋体" w:hAnsi="Times New Roman Regular" w:cs="Times New Roman Regular" w:hint="eastAsia"/>
          <w:color w:val="000000" w:themeColor="text1"/>
          <w:sz w:val="24"/>
        </w:rPr>
        <w:t xml:space="preserve">) and/or resveratrol (Res, 0 or 10 </w:t>
      </w:r>
      <w:proofErr w:type="spellStart"/>
      <w:r w:rsidR="00000000">
        <w:rPr>
          <w:rFonts w:ascii="Times New Roman Regular" w:eastAsia="宋体" w:hAnsi="Times New Roman Regular" w:cs="Times New Roman Regular"/>
          <w:color w:val="000000" w:themeColor="text1"/>
          <w:sz w:val="24"/>
        </w:rPr>
        <w:t>μ</w:t>
      </w:r>
      <w:r w:rsidR="00000000">
        <w:rPr>
          <w:rFonts w:ascii="Times New Roman Regular" w:eastAsia="宋体" w:hAnsi="Times New Roman Regular" w:cs="Times New Roman Regular" w:hint="eastAsia"/>
          <w:color w:val="000000" w:themeColor="text1"/>
          <w:sz w:val="24"/>
        </w:rPr>
        <w:t>M</w:t>
      </w:r>
      <w:proofErr w:type="spellEnd"/>
      <w:r w:rsidR="00000000">
        <w:rPr>
          <w:rFonts w:ascii="Times New Roman Regular" w:eastAsia="宋体" w:hAnsi="Times New Roman Regular" w:cs="Times New Roman Regular" w:hint="eastAsia"/>
          <w:color w:val="000000" w:themeColor="text1"/>
          <w:sz w:val="24"/>
        </w:rPr>
        <w:t xml:space="preserve">). Silencing TYMS significantly reduced cell viability, especially under combination treatment. Data are presented as mean </w:t>
      </w:r>
      <w:r w:rsidR="00000000">
        <w:rPr>
          <w:rFonts w:ascii="Times New Roman Regular" w:eastAsia="宋体" w:hAnsi="Times New Roman Regular" w:cs="Times New Roman Regular" w:hint="eastAsia"/>
          <w:color w:val="000000" w:themeColor="text1"/>
          <w:sz w:val="24"/>
        </w:rPr>
        <w:t>±</w:t>
      </w:r>
      <w:r w:rsidR="00000000">
        <w:rPr>
          <w:rFonts w:ascii="Times New Roman Regular" w:eastAsia="宋体" w:hAnsi="Times New Roman Regular" w:cs="Times New Roman Regular" w:hint="eastAsia"/>
          <w:color w:val="000000" w:themeColor="text1"/>
          <w:sz w:val="24"/>
        </w:rPr>
        <w:t xml:space="preserve"> SD. </w:t>
      </w:r>
      <w:r w:rsidR="00000000">
        <w:rPr>
          <w:rFonts w:ascii="Times New Roman Regular" w:eastAsia="宋体" w:hAnsi="Times New Roman Regular" w:cs="Times New Roman Regular"/>
          <w:color w:val="000000" w:themeColor="text1"/>
          <w:sz w:val="24"/>
        </w:rPr>
        <w:t xml:space="preserve">* </w:t>
      </w:r>
      <w:r w:rsidR="00000000">
        <w:rPr>
          <w:rFonts w:ascii="Times New Roman Italic" w:eastAsia="宋体" w:hAnsi="Times New Roman Italic" w:cs="Times New Roman Italic"/>
          <w:i/>
          <w:iCs/>
          <w:color w:val="000000" w:themeColor="text1"/>
          <w:sz w:val="24"/>
        </w:rPr>
        <w:t>p</w:t>
      </w:r>
      <w:r w:rsidR="00000000">
        <w:rPr>
          <w:rFonts w:ascii="Times New Roman Regular" w:eastAsia="宋体" w:hAnsi="Times New Roman Regular" w:cs="Times New Roman Regular" w:hint="eastAsia"/>
          <w:color w:val="000000" w:themeColor="text1"/>
          <w:sz w:val="24"/>
        </w:rPr>
        <w:t xml:space="preserve"> &lt; 0.001 </w:t>
      </w:r>
      <w:r w:rsidR="00000000">
        <w:rPr>
          <w:rFonts w:ascii="Times New Roman Regular" w:eastAsia="宋体" w:hAnsi="Times New Roman Regular" w:cs="Times New Roman Regular"/>
          <w:color w:val="000000" w:themeColor="text1"/>
          <w:sz w:val="24"/>
        </w:rPr>
        <w:t xml:space="preserve">means </w:t>
      </w:r>
      <w:r w:rsidR="00000000">
        <w:rPr>
          <w:rFonts w:ascii="Times New Roman Regular" w:eastAsia="宋体" w:hAnsi="Times New Roman Regular" w:cs="Times New Roman Regular" w:hint="eastAsia"/>
          <w:color w:val="000000" w:themeColor="text1"/>
          <w:sz w:val="24"/>
        </w:rPr>
        <w:t xml:space="preserve">vs. </w:t>
      </w:r>
      <w:r w:rsidR="00000000">
        <w:rPr>
          <w:rFonts w:ascii="Times New Roman Regular" w:eastAsia="宋体" w:hAnsi="Times New Roman Regular" w:cs="Times New Roman Regular"/>
          <w:color w:val="000000" w:themeColor="text1"/>
          <w:sz w:val="24"/>
        </w:rPr>
        <w:t xml:space="preserve">Si-NC without any </w:t>
      </w:r>
      <w:proofErr w:type="spellStart"/>
      <w:r w:rsidR="00000000">
        <w:rPr>
          <w:rFonts w:ascii="Times New Roman Regular" w:eastAsia="宋体" w:hAnsi="Times New Roman Regular" w:cs="Times New Roman Regular"/>
          <w:color w:val="000000" w:themeColor="text1"/>
          <w:sz w:val="24"/>
        </w:rPr>
        <w:t>durg</w:t>
      </w:r>
      <w:proofErr w:type="spellEnd"/>
      <w:r w:rsidR="00000000">
        <w:rPr>
          <w:rFonts w:ascii="Times New Roman Regular" w:eastAsia="宋体" w:hAnsi="Times New Roman Regular" w:cs="Times New Roman Regular"/>
          <w:color w:val="000000" w:themeColor="text1"/>
          <w:sz w:val="24"/>
        </w:rPr>
        <w:t xml:space="preserve"> treatment</w:t>
      </w:r>
      <w:r w:rsidR="00000000">
        <w:rPr>
          <w:rFonts w:ascii="Times New Roman Regular" w:eastAsia="宋体" w:hAnsi="Times New Roman Regular" w:cs="Times New Roman Regular" w:hint="eastAsia"/>
          <w:color w:val="000000" w:themeColor="text1"/>
          <w:sz w:val="24"/>
        </w:rPr>
        <w:t>; #</w:t>
      </w:r>
      <w:r w:rsidR="00000000">
        <w:rPr>
          <w:rFonts w:ascii="Times New Roman Regular" w:eastAsia="宋体" w:hAnsi="Times New Roman Regular" w:cs="Times New Roman Regular"/>
          <w:color w:val="000000" w:themeColor="text1"/>
          <w:sz w:val="24"/>
        </w:rPr>
        <w:t xml:space="preserve"> </w:t>
      </w:r>
      <w:r w:rsidR="00000000">
        <w:rPr>
          <w:rFonts w:ascii="Times New Roman Italic" w:eastAsia="宋体" w:hAnsi="Times New Roman Italic" w:cs="Times New Roman Italic"/>
          <w:i/>
          <w:iCs/>
          <w:color w:val="000000" w:themeColor="text1"/>
          <w:sz w:val="24"/>
        </w:rPr>
        <w:t>p</w:t>
      </w:r>
      <w:r w:rsidR="00000000">
        <w:rPr>
          <w:rFonts w:ascii="Times New Roman Regular" w:eastAsia="宋体" w:hAnsi="Times New Roman Regular" w:cs="Times New Roman Regular" w:hint="eastAsia"/>
          <w:color w:val="000000" w:themeColor="text1"/>
          <w:sz w:val="24"/>
        </w:rPr>
        <w:t xml:space="preserve"> &lt; 0.05, ##</w:t>
      </w:r>
      <w:r w:rsidR="00000000">
        <w:rPr>
          <w:rFonts w:ascii="Times New Roman Regular" w:eastAsia="宋体" w:hAnsi="Times New Roman Regular" w:cs="Times New Roman Regular"/>
          <w:color w:val="000000" w:themeColor="text1"/>
          <w:sz w:val="24"/>
        </w:rPr>
        <w:t xml:space="preserve"> </w:t>
      </w:r>
      <w:r w:rsidR="00000000">
        <w:rPr>
          <w:rFonts w:ascii="Times New Roman Italic" w:eastAsia="宋体" w:hAnsi="Times New Roman Italic" w:cs="Times New Roman Italic"/>
          <w:i/>
          <w:iCs/>
          <w:color w:val="000000" w:themeColor="text1"/>
          <w:sz w:val="24"/>
        </w:rPr>
        <w:t>p</w:t>
      </w:r>
      <w:r w:rsidR="00000000">
        <w:rPr>
          <w:rFonts w:ascii="Times New Roman Regular" w:eastAsia="宋体" w:hAnsi="Times New Roman Regular" w:cs="Times New Roman Regular" w:hint="eastAsia"/>
          <w:color w:val="000000" w:themeColor="text1"/>
          <w:sz w:val="24"/>
        </w:rPr>
        <w:t xml:space="preserve"> &lt; 0.01, ###</w:t>
      </w:r>
      <w:r w:rsidR="00000000">
        <w:rPr>
          <w:rFonts w:ascii="Times New Roman Regular" w:eastAsia="宋体" w:hAnsi="Times New Roman Regular" w:cs="Times New Roman Regular"/>
          <w:color w:val="000000" w:themeColor="text1"/>
          <w:sz w:val="24"/>
        </w:rPr>
        <w:t xml:space="preserve"> </w:t>
      </w:r>
      <w:r w:rsidR="00000000">
        <w:rPr>
          <w:rFonts w:ascii="Times New Roman Italic" w:eastAsia="宋体" w:hAnsi="Times New Roman Italic" w:cs="Times New Roman Italic"/>
          <w:i/>
          <w:iCs/>
          <w:color w:val="000000" w:themeColor="text1"/>
          <w:sz w:val="24"/>
        </w:rPr>
        <w:t>p</w:t>
      </w:r>
      <w:r w:rsidR="00000000">
        <w:rPr>
          <w:rFonts w:ascii="Times New Roman Regular" w:eastAsia="宋体" w:hAnsi="Times New Roman Regular" w:cs="Times New Roman Regular" w:hint="eastAsia"/>
          <w:color w:val="000000" w:themeColor="text1"/>
          <w:sz w:val="24"/>
        </w:rPr>
        <w:t xml:space="preserve"> &lt; 0.001</w:t>
      </w:r>
      <w:r w:rsidR="00000000">
        <w:rPr>
          <w:rFonts w:ascii="Times New Roman Regular" w:eastAsia="宋体" w:hAnsi="Times New Roman Regular" w:cs="Times New Roman Regular"/>
          <w:color w:val="000000" w:themeColor="text1"/>
          <w:sz w:val="24"/>
        </w:rPr>
        <w:t xml:space="preserve"> means</w:t>
      </w:r>
      <w:r w:rsidR="00000000">
        <w:rPr>
          <w:rFonts w:ascii="Times New Roman Regular" w:eastAsia="宋体" w:hAnsi="Times New Roman Regular" w:cs="Times New Roman Regular" w:hint="eastAsia"/>
          <w:color w:val="000000" w:themeColor="text1"/>
          <w:sz w:val="24"/>
        </w:rPr>
        <w:t xml:space="preserve"> vs. </w:t>
      </w:r>
      <w:r w:rsidR="00000000">
        <w:rPr>
          <w:rFonts w:ascii="Times New Roman Regular" w:eastAsia="宋体" w:hAnsi="Times New Roman Regular" w:cs="Times New Roman Regular"/>
          <w:color w:val="000000" w:themeColor="text1"/>
          <w:sz w:val="24"/>
        </w:rPr>
        <w:t xml:space="preserve">Si-TYMS without any </w:t>
      </w:r>
      <w:proofErr w:type="spellStart"/>
      <w:r w:rsidR="00000000">
        <w:rPr>
          <w:rFonts w:ascii="Times New Roman Regular" w:eastAsia="宋体" w:hAnsi="Times New Roman Regular" w:cs="Times New Roman Regular"/>
          <w:color w:val="000000" w:themeColor="text1"/>
          <w:sz w:val="24"/>
        </w:rPr>
        <w:t>durg</w:t>
      </w:r>
      <w:proofErr w:type="spellEnd"/>
      <w:r w:rsidR="00000000">
        <w:rPr>
          <w:rFonts w:ascii="Times New Roman Regular" w:eastAsia="宋体" w:hAnsi="Times New Roman Regular" w:cs="Times New Roman Regular"/>
          <w:color w:val="000000" w:themeColor="text1"/>
          <w:sz w:val="24"/>
        </w:rPr>
        <w:t xml:space="preserve"> treatment</w:t>
      </w:r>
      <w:r w:rsidR="00000000">
        <w:rPr>
          <w:rFonts w:ascii="Times New Roman Regular" w:eastAsia="宋体" w:hAnsi="Times New Roman Regular" w:cs="Times New Roman Regular" w:hint="eastAsia"/>
          <w:color w:val="000000" w:themeColor="text1"/>
          <w:sz w:val="24"/>
        </w:rPr>
        <w:t>; &amp;</w:t>
      </w:r>
      <w:r w:rsidR="00000000">
        <w:rPr>
          <w:rFonts w:ascii="Times New Roman Regular" w:eastAsia="宋体" w:hAnsi="Times New Roman Regular" w:cs="Times New Roman Regular"/>
          <w:color w:val="000000" w:themeColor="text1"/>
          <w:sz w:val="24"/>
        </w:rPr>
        <w:t xml:space="preserve"> </w:t>
      </w:r>
      <w:r w:rsidR="00000000">
        <w:rPr>
          <w:rFonts w:ascii="Times New Roman Italic" w:eastAsia="宋体" w:hAnsi="Times New Roman Italic" w:cs="Times New Roman Italic"/>
          <w:i/>
          <w:iCs/>
          <w:color w:val="000000" w:themeColor="text1"/>
          <w:sz w:val="24"/>
        </w:rPr>
        <w:t>p</w:t>
      </w:r>
      <w:r w:rsidR="00000000">
        <w:rPr>
          <w:rFonts w:ascii="Times New Roman Regular" w:eastAsia="宋体" w:hAnsi="Times New Roman Regular" w:cs="Times New Roman Regular" w:hint="eastAsia"/>
          <w:color w:val="000000" w:themeColor="text1"/>
          <w:sz w:val="24"/>
        </w:rPr>
        <w:t xml:space="preserve"> &lt; 0.05, &amp;&amp;</w:t>
      </w:r>
      <w:r w:rsidR="00000000">
        <w:rPr>
          <w:rFonts w:ascii="Times New Roman Regular" w:eastAsia="宋体" w:hAnsi="Times New Roman Regular" w:cs="Times New Roman Regular"/>
          <w:color w:val="000000" w:themeColor="text1"/>
          <w:sz w:val="24"/>
        </w:rPr>
        <w:t xml:space="preserve"> </w:t>
      </w:r>
      <w:r w:rsidR="00000000">
        <w:rPr>
          <w:rFonts w:ascii="Times New Roman Italic" w:eastAsia="宋体" w:hAnsi="Times New Roman Italic" w:cs="Times New Roman Italic"/>
          <w:i/>
          <w:iCs/>
          <w:color w:val="000000" w:themeColor="text1"/>
          <w:sz w:val="24"/>
        </w:rPr>
        <w:t>p</w:t>
      </w:r>
      <w:r w:rsidR="00000000">
        <w:rPr>
          <w:rFonts w:ascii="Times New Roman Regular" w:eastAsia="宋体" w:hAnsi="Times New Roman Regular" w:cs="Times New Roman Regular" w:hint="eastAsia"/>
          <w:color w:val="000000" w:themeColor="text1"/>
          <w:sz w:val="24"/>
        </w:rPr>
        <w:t xml:space="preserve"> &lt; 0.01 </w:t>
      </w:r>
      <w:r w:rsidR="00000000">
        <w:rPr>
          <w:rFonts w:ascii="Times New Roman Regular" w:eastAsia="宋体" w:hAnsi="Times New Roman Regular" w:cs="Times New Roman Regular"/>
          <w:color w:val="000000" w:themeColor="text1"/>
          <w:sz w:val="24"/>
        </w:rPr>
        <w:t xml:space="preserve">means Si-TYMS </w:t>
      </w:r>
      <w:r w:rsidR="00000000">
        <w:rPr>
          <w:rFonts w:ascii="Times New Roman Regular" w:eastAsia="宋体" w:hAnsi="Times New Roman Regular" w:cs="Times New Roman Regular" w:hint="eastAsia"/>
          <w:color w:val="000000" w:themeColor="text1"/>
          <w:sz w:val="24"/>
        </w:rPr>
        <w:t xml:space="preserve">vs. </w:t>
      </w:r>
      <w:r w:rsidR="00000000">
        <w:rPr>
          <w:rFonts w:ascii="Times New Roman Regular" w:eastAsia="宋体" w:hAnsi="Times New Roman Regular" w:cs="Times New Roman Regular"/>
          <w:color w:val="000000" w:themeColor="text1"/>
          <w:sz w:val="24"/>
        </w:rPr>
        <w:t>Si-NC</w:t>
      </w:r>
      <w:r w:rsidR="00000000">
        <w:rPr>
          <w:rFonts w:ascii="Times New Roman Regular" w:eastAsia="宋体" w:hAnsi="Times New Roman Regular" w:cs="Times New Roman Regular" w:hint="eastAsia"/>
          <w:color w:val="000000" w:themeColor="text1"/>
          <w:sz w:val="24"/>
        </w:rPr>
        <w:t xml:space="preserve"> at the same treatment condition.</w:t>
      </w:r>
    </w:p>
    <w:sectPr w:rsidR="00DD7E2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 New Roman Regular">
    <w:altName w:val="Times New Roman"/>
    <w:charset w:val="00"/>
    <w:family w:val="auto"/>
    <w:pitch w:val="default"/>
    <w:sig w:usb0="E0000AFF" w:usb1="00007843" w:usb2="00000001" w:usb3="00000000" w:csb0="400001BF" w:csb1="DFF70000"/>
  </w:font>
  <w:font w:name="Times New Roman Italic">
    <w:panose1 w:val="02020503050405090304"/>
    <w:charset w:val="00"/>
    <w:family w:val="auto"/>
    <w:pitch w:val="default"/>
    <w:sig w:usb0="E0000AFF" w:usb1="00007843" w:usb2="00000001" w:usb3="00000000" w:csb0="400001BF" w:csb1="DFF7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3730F0A"/>
    <w:rsid w:val="00872B02"/>
    <w:rsid w:val="00C51EBF"/>
    <w:rsid w:val="00DD7E2F"/>
    <w:rsid w:val="73730F0A"/>
    <w:rsid w:val="7F73B011"/>
    <w:rsid w:val="85FF9A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05E067"/>
  <w15:docId w15:val="{708BEDCA-9BE4-4B06-A1C4-4C6FBFDD8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213</Words>
  <Characters>1159</Characters>
  <Application>Microsoft Office Word</Application>
  <DocSecurity>0</DocSecurity>
  <Lines>26</Lines>
  <Paragraphs>7</Paragraphs>
  <ScaleCrop>false</ScaleCrop>
  <Company/>
  <LinksUpToDate>false</LinksUpToDate>
  <CharactersWithSpaces>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Kyle</cp:lastModifiedBy>
  <cp:revision>2</cp:revision>
  <dcterms:created xsi:type="dcterms:W3CDTF">2026-03-29T03:47:00Z</dcterms:created>
  <dcterms:modified xsi:type="dcterms:W3CDTF">2026-08-25T06:08:00Z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2052-7.5.1.8994</vt:lpwstr>
  </property>
  <property fmtid="{D5CDD505-2E9C-101B-9397-08002B2CF9AE}" pid="3" name="ICV">
    <vt:lpwstr>073C81512DA8E5CAFB76756A998FE01F_43</vt:lpwstr>
  </property>
</Properties>
</file>